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2433"/>
        <w:tblW w:w="0" w:type="auto"/>
        <w:tblLook w:val="04A0" w:firstRow="1" w:lastRow="0" w:firstColumn="1" w:lastColumn="0" w:noHBand="0" w:noVBand="1"/>
      </w:tblPr>
      <w:tblGrid>
        <w:gridCol w:w="2176"/>
        <w:gridCol w:w="1709"/>
        <w:gridCol w:w="1710"/>
        <w:gridCol w:w="1710"/>
        <w:gridCol w:w="1711"/>
      </w:tblGrid>
      <w:tr w:rsidR="00B3084D" w:rsidRPr="00B3084D" w14:paraId="09875866" w14:textId="77777777" w:rsidTr="00B3084D">
        <w:tc>
          <w:tcPr>
            <w:tcW w:w="2176" w:type="dxa"/>
          </w:tcPr>
          <w:p w14:paraId="40AE04E5" w14:textId="7B319540" w:rsidR="00B3084D" w:rsidRPr="00B3084D" w:rsidRDefault="00B3084D" w:rsidP="00B3084D">
            <w:pPr>
              <w:rPr>
                <w:lang w:val="en-US"/>
              </w:rPr>
            </w:pPr>
            <w:r>
              <w:rPr>
                <w:lang w:val="en-US"/>
              </w:rPr>
              <w:t>Tissue</w:t>
            </w:r>
          </w:p>
        </w:tc>
        <w:tc>
          <w:tcPr>
            <w:tcW w:w="1709" w:type="dxa"/>
          </w:tcPr>
          <w:p w14:paraId="6EFE9A3C" w14:textId="66637174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Normal</w:t>
            </w:r>
          </w:p>
        </w:tc>
        <w:tc>
          <w:tcPr>
            <w:tcW w:w="1710" w:type="dxa"/>
          </w:tcPr>
          <w:p w14:paraId="386FCFDB" w14:textId="134D6A5F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G1</w:t>
            </w:r>
          </w:p>
        </w:tc>
        <w:tc>
          <w:tcPr>
            <w:tcW w:w="1710" w:type="dxa"/>
          </w:tcPr>
          <w:p w14:paraId="3485D94E" w14:textId="58B38641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G2</w:t>
            </w:r>
          </w:p>
        </w:tc>
        <w:tc>
          <w:tcPr>
            <w:tcW w:w="1711" w:type="dxa"/>
          </w:tcPr>
          <w:p w14:paraId="0DEE4986" w14:textId="75EFC130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G3</w:t>
            </w:r>
          </w:p>
        </w:tc>
      </w:tr>
      <w:tr w:rsidR="00B3084D" w:rsidRPr="00B3084D" w14:paraId="5E85FF98" w14:textId="77777777" w:rsidTr="00B3084D">
        <w:tc>
          <w:tcPr>
            <w:tcW w:w="2176" w:type="dxa"/>
            <w:noWrap/>
          </w:tcPr>
          <w:p w14:paraId="0DCA7D09" w14:textId="462DFDF3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Number of values</w:t>
            </w:r>
          </w:p>
        </w:tc>
        <w:tc>
          <w:tcPr>
            <w:tcW w:w="1709" w:type="dxa"/>
            <w:noWrap/>
          </w:tcPr>
          <w:p w14:paraId="2C2B77C5" w14:textId="41343540" w:rsidR="00B3084D" w:rsidRPr="00B3084D" w:rsidRDefault="003E1CCD" w:rsidP="00B3084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710" w:type="dxa"/>
            <w:noWrap/>
          </w:tcPr>
          <w:p w14:paraId="1A9E8E92" w14:textId="79137493" w:rsidR="00B3084D" w:rsidRPr="00B3084D" w:rsidRDefault="00B3084D" w:rsidP="00B3084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710" w:type="dxa"/>
            <w:noWrap/>
          </w:tcPr>
          <w:p w14:paraId="4FD02DE3" w14:textId="22840E79" w:rsidR="00B3084D" w:rsidRPr="00B3084D" w:rsidRDefault="00B3084D" w:rsidP="00B3084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711" w:type="dxa"/>
            <w:noWrap/>
          </w:tcPr>
          <w:p w14:paraId="007D35CF" w14:textId="18129807" w:rsidR="00B3084D" w:rsidRPr="00B3084D" w:rsidRDefault="00B3084D" w:rsidP="00B3084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B3084D" w:rsidRPr="00B3084D" w14:paraId="1880C1A0" w14:textId="77777777" w:rsidTr="00B3084D">
        <w:tc>
          <w:tcPr>
            <w:tcW w:w="2176" w:type="dxa"/>
            <w:noWrap/>
            <w:hideMark/>
          </w:tcPr>
          <w:p w14:paraId="3FAEAA70" w14:textId="77777777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Minimum</w:t>
            </w:r>
          </w:p>
        </w:tc>
        <w:tc>
          <w:tcPr>
            <w:tcW w:w="1709" w:type="dxa"/>
            <w:noWrap/>
            <w:hideMark/>
          </w:tcPr>
          <w:p w14:paraId="2ACD5A1D" w14:textId="2AFAD75A" w:rsidR="00B3084D" w:rsidRPr="00B3084D" w:rsidRDefault="001A6A79" w:rsidP="00B3084D">
            <w:pPr>
              <w:jc w:val="right"/>
              <w:rPr>
                <w:lang w:val="en-US"/>
              </w:rPr>
            </w:pPr>
            <w:r w:rsidRPr="001A6A79">
              <w:rPr>
                <w:lang w:val="en-US"/>
              </w:rPr>
              <w:t>5,020</w:t>
            </w:r>
          </w:p>
        </w:tc>
        <w:tc>
          <w:tcPr>
            <w:tcW w:w="1710" w:type="dxa"/>
            <w:noWrap/>
            <w:hideMark/>
          </w:tcPr>
          <w:p w14:paraId="2306D2B1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4,670</w:t>
            </w:r>
          </w:p>
        </w:tc>
        <w:tc>
          <w:tcPr>
            <w:tcW w:w="1710" w:type="dxa"/>
            <w:noWrap/>
            <w:hideMark/>
          </w:tcPr>
          <w:p w14:paraId="57CDA711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6,560</w:t>
            </w:r>
          </w:p>
        </w:tc>
        <w:tc>
          <w:tcPr>
            <w:tcW w:w="1711" w:type="dxa"/>
            <w:noWrap/>
            <w:hideMark/>
          </w:tcPr>
          <w:p w14:paraId="078F1E0E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5,890</w:t>
            </w:r>
          </w:p>
        </w:tc>
      </w:tr>
      <w:tr w:rsidR="00B3084D" w:rsidRPr="00B3084D" w14:paraId="4994575B" w14:textId="77777777" w:rsidTr="00B3084D">
        <w:tc>
          <w:tcPr>
            <w:tcW w:w="0" w:type="auto"/>
            <w:noWrap/>
            <w:hideMark/>
          </w:tcPr>
          <w:p w14:paraId="1E90D5FE" w14:textId="77777777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Maximum</w:t>
            </w:r>
          </w:p>
        </w:tc>
        <w:tc>
          <w:tcPr>
            <w:tcW w:w="0" w:type="auto"/>
            <w:noWrap/>
            <w:hideMark/>
          </w:tcPr>
          <w:p w14:paraId="356E33F6" w14:textId="2A5C02CC" w:rsidR="00B3084D" w:rsidRPr="00B3084D" w:rsidRDefault="001A6A79" w:rsidP="00B3084D">
            <w:pPr>
              <w:jc w:val="right"/>
              <w:rPr>
                <w:lang w:val="en-US"/>
              </w:rPr>
            </w:pPr>
            <w:r w:rsidRPr="001A6A79">
              <w:rPr>
                <w:lang w:val="en-US"/>
              </w:rPr>
              <w:t>30,46</w:t>
            </w:r>
          </w:p>
        </w:tc>
        <w:tc>
          <w:tcPr>
            <w:tcW w:w="0" w:type="auto"/>
            <w:noWrap/>
            <w:hideMark/>
          </w:tcPr>
          <w:p w14:paraId="5FCC312B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37,89</w:t>
            </w:r>
          </w:p>
        </w:tc>
        <w:tc>
          <w:tcPr>
            <w:tcW w:w="0" w:type="auto"/>
            <w:noWrap/>
            <w:hideMark/>
          </w:tcPr>
          <w:p w14:paraId="37871F6E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33,58</w:t>
            </w:r>
          </w:p>
        </w:tc>
        <w:tc>
          <w:tcPr>
            <w:tcW w:w="0" w:type="auto"/>
            <w:noWrap/>
            <w:hideMark/>
          </w:tcPr>
          <w:p w14:paraId="55CD8C83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47,85</w:t>
            </w:r>
          </w:p>
        </w:tc>
      </w:tr>
      <w:tr w:rsidR="00B3084D" w:rsidRPr="00B3084D" w14:paraId="7B6A31D4" w14:textId="77777777" w:rsidTr="00B3084D">
        <w:tc>
          <w:tcPr>
            <w:tcW w:w="0" w:type="auto"/>
            <w:noWrap/>
            <w:hideMark/>
          </w:tcPr>
          <w:p w14:paraId="5AE808C3" w14:textId="77777777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Range</w:t>
            </w:r>
          </w:p>
        </w:tc>
        <w:tc>
          <w:tcPr>
            <w:tcW w:w="0" w:type="auto"/>
            <w:noWrap/>
            <w:hideMark/>
          </w:tcPr>
          <w:p w14:paraId="12A4FE5A" w14:textId="32D31C47" w:rsidR="00B3084D" w:rsidRPr="00B3084D" w:rsidRDefault="001A6A79" w:rsidP="00B3084D">
            <w:pPr>
              <w:jc w:val="right"/>
              <w:rPr>
                <w:lang w:val="en-US"/>
              </w:rPr>
            </w:pPr>
            <w:r w:rsidRPr="001A6A79">
              <w:rPr>
                <w:lang w:val="en-US"/>
              </w:rPr>
              <w:t>25,44</w:t>
            </w:r>
          </w:p>
        </w:tc>
        <w:tc>
          <w:tcPr>
            <w:tcW w:w="0" w:type="auto"/>
            <w:noWrap/>
            <w:hideMark/>
          </w:tcPr>
          <w:p w14:paraId="5EBE908B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33,22</w:t>
            </w:r>
          </w:p>
        </w:tc>
        <w:tc>
          <w:tcPr>
            <w:tcW w:w="0" w:type="auto"/>
            <w:noWrap/>
            <w:hideMark/>
          </w:tcPr>
          <w:p w14:paraId="4FBC1A22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27,02</w:t>
            </w:r>
          </w:p>
        </w:tc>
        <w:tc>
          <w:tcPr>
            <w:tcW w:w="0" w:type="auto"/>
            <w:noWrap/>
            <w:hideMark/>
          </w:tcPr>
          <w:p w14:paraId="7E436AEE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41,96</w:t>
            </w:r>
          </w:p>
        </w:tc>
      </w:tr>
      <w:tr w:rsidR="00B3084D" w:rsidRPr="00B3084D" w14:paraId="1393AE48" w14:textId="77777777" w:rsidTr="00B3084D">
        <w:tc>
          <w:tcPr>
            <w:tcW w:w="2176" w:type="dxa"/>
            <w:noWrap/>
            <w:hideMark/>
          </w:tcPr>
          <w:p w14:paraId="47ACEA13" w14:textId="77777777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Mean</w:t>
            </w:r>
          </w:p>
        </w:tc>
        <w:tc>
          <w:tcPr>
            <w:tcW w:w="1709" w:type="dxa"/>
            <w:noWrap/>
            <w:hideMark/>
          </w:tcPr>
          <w:p w14:paraId="4F9CC7EC" w14:textId="140C97EA" w:rsidR="00B3084D" w:rsidRPr="00B3084D" w:rsidRDefault="001A6A79" w:rsidP="00B3084D">
            <w:pPr>
              <w:jc w:val="right"/>
              <w:rPr>
                <w:lang w:val="en-US"/>
              </w:rPr>
            </w:pPr>
            <w:r w:rsidRPr="001A6A79">
              <w:rPr>
                <w:lang w:val="en-US"/>
              </w:rPr>
              <w:t>13,71</w:t>
            </w:r>
          </w:p>
        </w:tc>
        <w:tc>
          <w:tcPr>
            <w:tcW w:w="1710" w:type="dxa"/>
            <w:noWrap/>
            <w:hideMark/>
          </w:tcPr>
          <w:p w14:paraId="4CAE8D96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16,27</w:t>
            </w:r>
          </w:p>
        </w:tc>
        <w:tc>
          <w:tcPr>
            <w:tcW w:w="1710" w:type="dxa"/>
            <w:noWrap/>
            <w:hideMark/>
          </w:tcPr>
          <w:p w14:paraId="5F7AA010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18,67</w:t>
            </w:r>
          </w:p>
        </w:tc>
        <w:tc>
          <w:tcPr>
            <w:tcW w:w="1711" w:type="dxa"/>
            <w:noWrap/>
            <w:hideMark/>
          </w:tcPr>
          <w:p w14:paraId="7E5B6737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21,79</w:t>
            </w:r>
          </w:p>
        </w:tc>
      </w:tr>
      <w:tr w:rsidR="00B3084D" w:rsidRPr="00B3084D" w14:paraId="62090B51" w14:textId="77777777" w:rsidTr="00B3084D">
        <w:tc>
          <w:tcPr>
            <w:tcW w:w="0" w:type="auto"/>
            <w:noWrap/>
            <w:hideMark/>
          </w:tcPr>
          <w:p w14:paraId="2391B907" w14:textId="77777777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Std. Deviation</w:t>
            </w:r>
          </w:p>
        </w:tc>
        <w:tc>
          <w:tcPr>
            <w:tcW w:w="0" w:type="auto"/>
            <w:noWrap/>
            <w:hideMark/>
          </w:tcPr>
          <w:p w14:paraId="28741637" w14:textId="3E152805" w:rsidR="00B3084D" w:rsidRPr="00B3084D" w:rsidRDefault="007F4D69" w:rsidP="00B3084D">
            <w:pPr>
              <w:jc w:val="right"/>
              <w:rPr>
                <w:lang w:val="en-US"/>
              </w:rPr>
            </w:pPr>
            <w:r w:rsidRPr="007F4D69">
              <w:rPr>
                <w:lang w:val="en-US"/>
              </w:rPr>
              <w:t>5,524</w:t>
            </w:r>
          </w:p>
        </w:tc>
        <w:tc>
          <w:tcPr>
            <w:tcW w:w="0" w:type="auto"/>
            <w:noWrap/>
            <w:hideMark/>
          </w:tcPr>
          <w:p w14:paraId="0884F933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7,980</w:t>
            </w:r>
          </w:p>
        </w:tc>
        <w:tc>
          <w:tcPr>
            <w:tcW w:w="0" w:type="auto"/>
            <w:noWrap/>
            <w:hideMark/>
          </w:tcPr>
          <w:p w14:paraId="7058DC5C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6,697</w:t>
            </w:r>
          </w:p>
        </w:tc>
        <w:tc>
          <w:tcPr>
            <w:tcW w:w="0" w:type="auto"/>
            <w:noWrap/>
            <w:hideMark/>
          </w:tcPr>
          <w:p w14:paraId="1C0AB687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11,52</w:t>
            </w:r>
          </w:p>
        </w:tc>
      </w:tr>
      <w:tr w:rsidR="00B3084D" w:rsidRPr="00B3084D" w14:paraId="64AE4EC3" w14:textId="77777777" w:rsidTr="00B3084D">
        <w:tc>
          <w:tcPr>
            <w:tcW w:w="0" w:type="auto"/>
            <w:noWrap/>
            <w:hideMark/>
          </w:tcPr>
          <w:p w14:paraId="10041E10" w14:textId="77777777" w:rsidR="00B3084D" w:rsidRPr="00B3084D" w:rsidRDefault="00B3084D" w:rsidP="00B3084D">
            <w:pPr>
              <w:rPr>
                <w:lang w:val="en-US"/>
              </w:rPr>
            </w:pPr>
            <w:r w:rsidRPr="00B3084D">
              <w:rPr>
                <w:lang w:val="en-US"/>
              </w:rPr>
              <w:t>Std. Error of Mean</w:t>
            </w:r>
          </w:p>
        </w:tc>
        <w:tc>
          <w:tcPr>
            <w:tcW w:w="0" w:type="auto"/>
            <w:noWrap/>
            <w:hideMark/>
          </w:tcPr>
          <w:p w14:paraId="0901F40D" w14:textId="7B12061D" w:rsidR="00B3084D" w:rsidRPr="00B3084D" w:rsidRDefault="007F4D69" w:rsidP="00B3084D">
            <w:pPr>
              <w:jc w:val="right"/>
              <w:rPr>
                <w:lang w:val="en-US"/>
              </w:rPr>
            </w:pPr>
            <w:r w:rsidRPr="007F4D69">
              <w:rPr>
                <w:lang w:val="en-US"/>
              </w:rPr>
              <w:t>0,3906</w:t>
            </w:r>
          </w:p>
        </w:tc>
        <w:tc>
          <w:tcPr>
            <w:tcW w:w="0" w:type="auto"/>
            <w:noWrap/>
            <w:hideMark/>
          </w:tcPr>
          <w:p w14:paraId="2AFC5EF5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1,369</w:t>
            </w:r>
          </w:p>
        </w:tc>
        <w:tc>
          <w:tcPr>
            <w:tcW w:w="0" w:type="auto"/>
            <w:noWrap/>
            <w:hideMark/>
          </w:tcPr>
          <w:p w14:paraId="2ED39461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1,244</w:t>
            </w:r>
          </w:p>
        </w:tc>
        <w:tc>
          <w:tcPr>
            <w:tcW w:w="0" w:type="auto"/>
            <w:noWrap/>
            <w:hideMark/>
          </w:tcPr>
          <w:p w14:paraId="05F009A2" w14:textId="77777777" w:rsidR="00B3084D" w:rsidRPr="00B3084D" w:rsidRDefault="00B3084D" w:rsidP="00B3084D">
            <w:pPr>
              <w:jc w:val="right"/>
              <w:rPr>
                <w:lang w:val="en-US"/>
              </w:rPr>
            </w:pPr>
            <w:r w:rsidRPr="00B3084D">
              <w:rPr>
                <w:lang w:val="en-US"/>
              </w:rPr>
              <w:t>2,177</w:t>
            </w:r>
          </w:p>
        </w:tc>
      </w:tr>
    </w:tbl>
    <w:p w14:paraId="5067DDF2" w14:textId="0C27C64F" w:rsidR="00B3084D" w:rsidRPr="00B3084D" w:rsidRDefault="00B3084D" w:rsidP="00B3084D">
      <w:pPr>
        <w:jc w:val="both"/>
        <w:rPr>
          <w:lang w:val="en-US"/>
        </w:rPr>
      </w:pPr>
      <w:r w:rsidRPr="00B3084D">
        <w:rPr>
          <w:b/>
          <w:bCs/>
          <w:lang w:val="en-US"/>
        </w:rPr>
        <w:t>Supplementary Table S1.</w:t>
      </w:r>
      <w:r w:rsidRPr="00B3084D">
        <w:rPr>
          <w:lang w:val="en-US"/>
        </w:rPr>
        <w:t xml:space="preserve"> Norepinephrine transporter expression quantified by the integrated optical density (IOD) in cancer-free patients and in different tumor differentiation grading in patients with gastric carcinoma.</w:t>
      </w:r>
    </w:p>
    <w:p w14:paraId="210656C4" w14:textId="3BBA7956" w:rsidR="00242E2D" w:rsidRPr="00B3084D" w:rsidRDefault="00242E2D">
      <w:pPr>
        <w:rPr>
          <w:lang w:val="en-US"/>
        </w:rPr>
      </w:pPr>
    </w:p>
    <w:p w14:paraId="3E76B2E7" w14:textId="77777777" w:rsidR="00B3084D" w:rsidRPr="00B3084D" w:rsidRDefault="00B3084D">
      <w:pPr>
        <w:rPr>
          <w:lang w:val="en-US"/>
        </w:rPr>
      </w:pPr>
    </w:p>
    <w:sectPr w:rsidR="00B3084D" w:rsidRPr="00B308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E2D"/>
    <w:rsid w:val="001A6A79"/>
    <w:rsid w:val="00242E2D"/>
    <w:rsid w:val="003E1CCD"/>
    <w:rsid w:val="007F4D69"/>
    <w:rsid w:val="00B3084D"/>
    <w:rsid w:val="00C7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6A8B2E"/>
  <w15:chartTrackingRefBased/>
  <w15:docId w15:val="{0ED5A026-97B6-2A42-8FDF-14FF37CC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84D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SO690Nmerical.XSL" StyleName="ISO 690 - Numerical Reference" Version="1987"/>
</file>

<file path=customXml/itemProps1.xml><?xml version="1.0" encoding="utf-8"?>
<ds:datastoreItem xmlns:ds="http://schemas.openxmlformats.org/officeDocument/2006/customXml" ds:itemID="{D98B19E0-D5FC-A240-88DE-3DC422B0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69</Words>
  <Characters>420</Characters>
  <Application>Microsoft Office Word</Application>
  <DocSecurity>0</DocSecurity>
  <Lines>5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Georgică Târtea</dc:creator>
  <cp:keywords/>
  <dc:description/>
  <cp:lastModifiedBy>Georgică Târtea</cp:lastModifiedBy>
  <cp:revision>6</cp:revision>
  <cp:lastPrinted>2020-10-23T11:51:00Z</cp:lastPrinted>
  <dcterms:created xsi:type="dcterms:W3CDTF">2020-10-23T09:53:00Z</dcterms:created>
  <dcterms:modified xsi:type="dcterms:W3CDTF">2021-01-31T22:24:00Z</dcterms:modified>
</cp:coreProperties>
</file>